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5B9A" w14:textId="77777777" w:rsidR="00F94391" w:rsidRDefault="008A0FD3" w:rsidP="00937FBC">
      <w:pPr>
        <w:pStyle w:val="Heading1"/>
      </w:pPr>
      <w:r>
        <w:t>Panel 21</w:t>
      </w:r>
    </w:p>
    <w:p w14:paraId="440AF092" w14:textId="77777777" w:rsidR="00F94391" w:rsidRDefault="00F94391" w:rsidP="00F94391">
      <w:pPr>
        <w:pStyle w:val="PanelNo"/>
      </w:pPr>
    </w:p>
    <w:p w14:paraId="72BBF1C5" w14:textId="77777777" w:rsidR="00F94391" w:rsidRPr="00A83CC1" w:rsidRDefault="00F94391" w:rsidP="00937FBC">
      <w:pPr>
        <w:pStyle w:val="Heading2"/>
        <w:rPr>
          <w:lang w:eastAsia="en-CA"/>
        </w:rPr>
      </w:pPr>
      <w:r w:rsidRPr="00A83CC1">
        <w:rPr>
          <w:lang w:eastAsia="en-CA"/>
        </w:rPr>
        <w:t>THE DEATH OF SCARLET</w:t>
      </w:r>
    </w:p>
    <w:p w14:paraId="2F36FF83" w14:textId="77777777" w:rsidR="00F94391" w:rsidRDefault="00937FBC" w:rsidP="00937FBC">
      <w:pPr>
        <w:pStyle w:val="NoSpacing"/>
        <w:tabs>
          <w:tab w:val="left" w:pos="5445"/>
        </w:tabs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color w:val="548DD4" w:themeColor="text2" w:themeTint="99"/>
          <w:sz w:val="28"/>
          <w:szCs w:val="28"/>
        </w:rPr>
        <w:tab/>
      </w:r>
    </w:p>
    <w:p w14:paraId="6BF5229F" w14:textId="77777777" w:rsidR="00F94391" w:rsidRPr="00A83CC1" w:rsidRDefault="00F94391" w:rsidP="00F94391">
      <w:pPr>
        <w:pStyle w:val="BodyCopy"/>
        <w:rPr>
          <w:lang w:eastAsia="en-CA"/>
        </w:rPr>
      </w:pPr>
      <w:r w:rsidRPr="00A83CC1">
        <w:rPr>
          <w:lang w:eastAsia="en-CA"/>
        </w:rPr>
        <w:t xml:space="preserve">Scarlet (J50) was only three years old when she began to waste away. </w:t>
      </w:r>
    </w:p>
    <w:p w14:paraId="363E2C64" w14:textId="77777777" w:rsidR="00F94391" w:rsidRDefault="00F94391" w:rsidP="00F94391">
      <w:pPr>
        <w:pStyle w:val="NoSpacing"/>
        <w:rPr>
          <w:rFonts w:ascii="Arial" w:hAnsi="Arial" w:cs="Arial"/>
          <w:bCs/>
          <w:color w:val="000000"/>
          <w:sz w:val="28"/>
          <w:szCs w:val="28"/>
          <w:lang w:eastAsia="en-CA"/>
        </w:rPr>
      </w:pP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>When whales are starving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,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the blubber behind their blowholes disappears and causes a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visible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indentation called “peanut head.” </w:t>
      </w:r>
    </w:p>
    <w:p w14:paraId="0A39D146" w14:textId="77777777" w:rsidR="00F94391" w:rsidRPr="00A83CC1" w:rsidRDefault="00F94391" w:rsidP="00F94391">
      <w:pPr>
        <w:pStyle w:val="NoSpacing"/>
        <w:rPr>
          <w:rFonts w:ascii="Arial" w:hAnsi="Arial" w:cs="Arial"/>
          <w:bCs/>
          <w:color w:val="000000"/>
          <w:sz w:val="28"/>
          <w:szCs w:val="28"/>
          <w:lang w:eastAsia="en-CA"/>
        </w:rPr>
      </w:pP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>In 2018, Scarlet had peanut head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,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and officials from Canada, the United States and the Lummi Nation joined 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forces 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with 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other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>s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, some with wildly different ideas about orcas in captivity, to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save her. </w:t>
      </w:r>
    </w:p>
    <w:p w14:paraId="671E0ED8" w14:textId="77777777" w:rsidR="00F94391" w:rsidRPr="00A83CC1" w:rsidRDefault="00F94391" w:rsidP="00F94391">
      <w:pPr>
        <w:pStyle w:val="NoSpacing"/>
        <w:rPr>
          <w:rFonts w:ascii="Arial" w:hAnsi="Arial" w:cs="Arial"/>
          <w:bCs/>
          <w:color w:val="000000"/>
          <w:sz w:val="28"/>
          <w:szCs w:val="28"/>
          <w:lang w:eastAsia="en-CA"/>
        </w:rPr>
      </w:pP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The group 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tried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to run medical tests and give her antibiotics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—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something that had never been attempted in the open ocean. But the fight to save Scarlet started too late. </w:t>
      </w:r>
    </w:p>
    <w:p w14:paraId="7DB2CB85" w14:textId="75212C26" w:rsidR="003645A4" w:rsidRPr="00B94650" w:rsidRDefault="00F94391" w:rsidP="00B94650">
      <w:pPr>
        <w:pStyle w:val="NoSpacing"/>
        <w:rPr>
          <w:rFonts w:ascii="Arial" w:hAnsi="Arial" w:cs="Arial"/>
          <w:bCs/>
          <w:color w:val="000000"/>
          <w:sz w:val="28"/>
          <w:szCs w:val="28"/>
          <w:lang w:eastAsia="en-CA"/>
        </w:rPr>
      </w:pP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>Scarlet died, but the failed rescue mission proved that people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with very different perspectives on what’s best for whales 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could 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work together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 xml:space="preserve"> to </w:t>
      </w:r>
      <w:r>
        <w:rPr>
          <w:rFonts w:ascii="Arial" w:hAnsi="Arial" w:cs="Arial"/>
          <w:bCs/>
          <w:color w:val="000000"/>
          <w:sz w:val="28"/>
          <w:szCs w:val="28"/>
          <w:lang w:eastAsia="en-CA"/>
        </w:rPr>
        <w:t>try to save them</w:t>
      </w:r>
      <w:r w:rsidRPr="00A83CC1">
        <w:rPr>
          <w:rFonts w:ascii="Arial" w:hAnsi="Arial" w:cs="Arial"/>
          <w:bCs/>
          <w:color w:val="000000"/>
          <w:sz w:val="28"/>
          <w:szCs w:val="28"/>
          <w:lang w:eastAsia="en-CA"/>
        </w:rPr>
        <w:t>.</w:t>
      </w:r>
      <w:bookmarkStart w:id="0" w:name="_GoBack"/>
      <w:bookmarkEnd w:id="0"/>
    </w:p>
    <w:sectPr w:rsidR="003645A4" w:rsidRPr="00B94650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3" type="#_x0000_t75" style="width:383pt;height:383pt" o:bullet="t">
        <v:imagedata r:id="rId1" o:title="512px-Folder_close_alt_font_awesome_yellow"/>
      </v:shape>
    </w:pict>
  </w:numPicBullet>
  <w:numPicBullet w:numPicBulletId="1">
    <w:pict>
      <v:shape id="_x0000_i1744" type="#_x0000_t75" style="width:767.8pt;height:767.8pt" o:bullet="t">
        <v:imagedata r:id="rId2" o:title="1024px-Icons8_flat_folder"/>
      </v:shape>
    </w:pict>
  </w:numPicBullet>
  <w:numPicBullet w:numPicBulletId="2">
    <w:pict>
      <v:shape id="_x0000_i1745" type="#_x0000_t75" style="width:701.85pt;height:540.3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50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4525-7347-4D30-AC03-5EF05A30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2021-05-04T18:45:00Z</dcterms:created>
  <dcterms:modified xsi:type="dcterms:W3CDTF">2021-05-04T19:13:00Z</dcterms:modified>
</cp:coreProperties>
</file>